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3"/>
        <w:szCs w:val="23"/>
        <w:rtl w:val="0"/>
      </w:rPr>
      <w:t xml:space="preserve">PREFEITURA MUNICIPAL DE ABADIÂNIA – GO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Av. Geraldo Rodrigues dos Santos, 712 - Centro Abadiânia-GO</w:t>
      <w:br w:type="textWrapping"/>
      <w:t xml:space="preserve">CNPJ 01.298.330/0001-78 - Fone: (62) 3343-1113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-276224</wp:posOffset>
          </wp:positionV>
          <wp:extent cx="2001203" cy="730598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1203" cy="7305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2456505</wp:posOffset>
          </wp:positionH>
          <wp:positionV relativeFrom="paragraph">
            <wp:posOffset>-123820</wp:posOffset>
          </wp:positionV>
          <wp:extent cx="2943398" cy="578167"/>
          <wp:effectExtent b="0" l="0" r="0" t="0"/>
          <wp:wrapNone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D40FD"/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66FC"/>
  </w:style>
  <w:style w:type="paragraph" w:styleId="Rodap">
    <w:name w:val="footer"/>
    <w:basedOn w:val="Normal"/>
    <w:link w:val="RodapChar"/>
    <w:uiPriority w:val="99"/>
    <w:unhideWhenUsed w:val="1"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66F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AqxtXUcXrIcMeWNi1rOWsKnTA==">CgMxLjA4AHIhMUtBaTdwbjAwbEhnZ1BjbWZvcGJXdjZaRzdoWHdRWGJr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</cp:coreProperties>
</file>